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jpeg" ContentType="image/jpeg"/>
  <Override PartName="/word/media/image3.jpeg" ContentType="image/jpeg"/>
  <Override PartName="/word/media/image2.jpeg" ContentType="image/jpeg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pBdr>
          <w:bottom w:val="single" w:sz="6" w:space="7" w:color="EEEEEE"/>
        </w:pBdr>
        <w:shd w:val="clear" w:color="auto" w:fill="FFFFFF"/>
        <w:spacing w:lineRule="auto" w:line="240" w:before="0" w:after="0"/>
        <w:ind w:left="-426" w:hanging="0"/>
        <w:jc w:val="center"/>
        <w:outlineLvl w:val="3"/>
        <w:rPr>
          <w:rFonts w:ascii="Times New Roman" w:hAnsi="Times New Roman" w:eastAsia="Times New Roman" w:cs="Times New Roman"/>
          <w:b/>
          <w:b/>
          <w:bCs/>
          <w:caps/>
          <w:color w:val="41414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aps/>
          <w:color w:val="414141"/>
          <w:sz w:val="28"/>
          <w:szCs w:val="28"/>
          <w:lang w:eastAsia="ru-RU"/>
        </w:rPr>
        <w:drawing>
          <wp:anchor behindDoc="0" distT="0" distB="0" distL="0" distR="114300" simplePos="0" locked="0" layoutInCell="1" allowOverlap="1" relativeHeight="4">
            <wp:simplePos x="0" y="0"/>
            <wp:positionH relativeFrom="margin">
              <wp:posOffset>-233680</wp:posOffset>
            </wp:positionH>
            <wp:positionV relativeFrom="margin">
              <wp:align>top</wp:align>
            </wp:positionV>
            <wp:extent cx="6176010" cy="2983230"/>
            <wp:effectExtent l="0" t="0" r="0" b="0"/>
            <wp:wrapSquare wrapText="bothSides"/>
            <wp:docPr id="1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0"/>
        </w:numPr>
        <w:pBdr>
          <w:bottom w:val="single" w:sz="6" w:space="7" w:color="EEEEEE"/>
        </w:pBdr>
        <w:shd w:val="clear" w:color="auto" w:fill="FFFFFF"/>
        <w:spacing w:lineRule="auto" w:line="240" w:before="0" w:after="0"/>
        <w:ind w:left="-426" w:hanging="0"/>
        <w:jc w:val="center"/>
        <w:outlineLvl w:val="3"/>
        <w:rPr>
          <w:rFonts w:ascii="Times New Roman" w:hAnsi="Times New Roman" w:eastAsia="Times New Roman" w:cs="Times New Roman"/>
          <w:b/>
          <w:b/>
          <w:bCs/>
          <w:caps/>
          <w:color w:val="41414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aps/>
          <w:color w:val="414141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pBdr>
          <w:bottom w:val="single" w:sz="6" w:space="7" w:color="EEEEEE"/>
        </w:pBdr>
        <w:shd w:val="clear" w:color="auto" w:fill="FFFFFF"/>
        <w:spacing w:lineRule="auto" w:line="240" w:before="0" w:after="0"/>
        <w:ind w:left="-426" w:hanging="0"/>
        <w:jc w:val="center"/>
        <w:outlineLvl w:val="3"/>
        <w:rPr>
          <w:rFonts w:ascii="Times New Roman" w:hAnsi="Times New Roman" w:eastAsia="Times New Roman" w:cs="Times New Roman"/>
          <w:b/>
          <w:b/>
          <w:bCs/>
          <w:caps/>
          <w:color w:val="41414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aps/>
          <w:color w:val="414141"/>
          <w:sz w:val="28"/>
          <w:szCs w:val="28"/>
          <w:lang w:eastAsia="ru-RU"/>
        </w:rPr>
        <w:t>НАУЧНАЯ РОТА РОСГВАРДИИ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/>
        <mc:AlternateContent>
          <mc:Choice Requires="wps">
            <w:drawing>
              <wp:inline distT="0" distB="0" distL="0" distR="0" wp14:anchorId="58ACBFD7">
                <wp:extent cx="309880" cy="309880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0" cy="30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4.4pt;width:24.3pt;height:24.3pt;mso-position-vertical:top" wp14:anchorId="58ACBFD7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Научная рота дает возможность талантливым и компетентным выпускникам гражданских вузов с максимальной пользой провести «армейский год» и поступить служить в войска национальной гвардии Российской Федерации по контракту – продолжать научные исследования уже в офицерском звании в интересах войск национальной гвардии Российской Федерации. Основной ближайшей перспективой является прохождение военной службы в научных и образовательных организациях войск национальной гвардии Российской Федерации.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/>
        <mc:AlternateContent>
          <mc:Choice Requires="wps">
            <w:drawing>
              <wp:inline distT="0" distB="0" distL="0" distR="0">
                <wp:extent cx="5941695" cy="10795"/>
                <wp:effectExtent l="0" t="0" r="0" b="0"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080" cy="10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style="position:absolute;margin-left:0pt;margin-top:-0.85pt;width:467.75pt;height:0.75pt;mso-position-vertical:top">
                <w10:wrap type="none"/>
                <v:fill o:detectmouseclick="t" type="solid" color2="#5f5f5f"/>
                <v:stroke color="#3465a4" joinstyle="round" endcap="flat"/>
              </v:rect>
            </w:pict>
          </mc:Fallback>
        </mc:AlternateConten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center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>ВОЗМОЖНОСТИ И ПЕРСПЕКТИВЫ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Самореализация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Благодаря службе в научной роте компетентные и квалифицированные выпускники гражданских вузов могут применить свой научный потенциал в решении конкретных инженерных задач войск правопорядка. Исходя из специфики операторам научной роты предоставляются максимально комфортные условия для службы и одновременного осуществления научной деятельности. Распорядок дня позволяет в полной мере реализовать свой научный потенциал в течение года службы.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b/>
          <w:b/>
          <w:bCs/>
          <w:i/>
          <w:i/>
          <w:iCs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Работа в команде – работа на результат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/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Важен принцип преемственности: каждый вновь прибывший оператор продолжает исследования, начатые его предшественником. Акцент на преемственности позволяет сосредоточиться на решении конкретных научных 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66D460F">
                <wp:extent cx="309880" cy="309880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0" cy="30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4.4pt;width:24.3pt;height:24.3pt;mso-position-vertical:top" wp14:anchorId="566D460F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задач под эгидой руководителя и использовать ранее наработанный потенциал в полном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объёме.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b/>
          <w:b/>
          <w:bCs/>
          <w:i/>
          <w:i/>
          <w:iCs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Шанс проявить себя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Исследовательская работа ведется в рамках научно-исследовательских решений различных категорий, операторы активно участвуют в научных, научно-практических конференциях и научно-технических конкурсах в масштабах государства, и, возможно, за его пределами. Операторы также имеют возможность получения личных патентов на индивидуальные разработки. Отличный шанс проявить свой талант и умения, зарекомендовать себя и свои труды.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b/>
          <w:b/>
          <w:bCs/>
          <w:i/>
          <w:i/>
          <w:iCs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b/>
          <w:b/>
          <w:bCs/>
          <w:i/>
          <w:i/>
          <w:iCs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Опытные руководители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/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Командный состав научной роты подбирается в соответствии с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её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 задачами из наиболее подготовленных офицеров, имеющих непосредственное отношение к научной деятельности. С каждым оператором составляется индивидуальный план деятельности на год, отражающий основные направления деятельности и показатели эффективности.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Полноценная военная служба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Служба в научной роте не является альтернативной: операторы осваивают весь материал военной подготовки наравне с другими призывниками.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Военнослужащие научной роты принимают участие в организации и проведении научно-практических конференций, семинаров, круглых столов по актуальным вопросам развития и строительства войск, а также участвуют в спортивной и культурной жизни войск.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/>
        <mc:AlternateContent>
          <mc:Choice Requires="wps">
            <w:drawing>
              <wp:inline distT="0" distB="0" distL="0" distR="0">
                <wp:extent cx="5941695" cy="10795"/>
                <wp:effectExtent l="0" t="0" r="0" b="0"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080" cy="10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style="position:absolute;margin-left:0pt;margin-top:-0.85pt;width:467.75pt;height:0.75pt;mso-position-vertical:top">
                <w10:wrap type="none"/>
                <v:fill o:detectmouseclick="t" type="solid" color2="#5f5f5f"/>
                <v:stroke color="#3465a4" joinstyle="round" endcap="flat"/>
              </v:rect>
            </w:pict>
          </mc:Fallback>
        </mc:AlternateConten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>ЦЕЛЬ:</w:t>
      </w:r>
    </w:p>
    <w:p>
      <w:pPr>
        <w:pStyle w:val="Normal"/>
        <w:numPr>
          <w:ilvl w:val="0"/>
          <w:numId w:val="1"/>
        </w:numPr>
        <w:shd w:val="clear" w:color="auto" w:fill="FFFFFF"/>
        <w:tabs>
          <w:tab w:val="clear" w:pos="708"/>
          <w:tab w:val="left" w:pos="-142" w:leader="none"/>
        </w:tabs>
        <w:spacing w:lineRule="auto" w:line="240" w:before="0" w:after="0"/>
        <w:ind w:left="-426" w:hanging="0"/>
        <w:jc w:val="both"/>
        <w:rPr/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Повышение результативности и качества научной деятельности за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счёт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 применения новых информационных технологий, инновационных методов решения научных задач и использования научного потенциала молодых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учёных.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>ЗАДАЧИ:</w:t>
      </w:r>
    </w:p>
    <w:p>
      <w:pPr>
        <w:pStyle w:val="Normal"/>
        <w:numPr>
          <w:ilvl w:val="0"/>
          <w:numId w:val="2"/>
        </w:numPr>
        <w:shd w:val="clear" w:color="auto" w:fill="FFFFFF"/>
        <w:tabs>
          <w:tab w:val="clear" w:pos="708"/>
          <w:tab w:val="left" w:pos="-142" w:leader="none"/>
        </w:tabs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Участие в научной работе в интересах Росгвардии</w:t>
      </w:r>
    </w:p>
    <w:p>
      <w:pPr>
        <w:pStyle w:val="Normal"/>
        <w:numPr>
          <w:ilvl w:val="0"/>
          <w:numId w:val="2"/>
        </w:numPr>
        <w:shd w:val="clear" w:color="auto" w:fill="FFFFFF"/>
        <w:tabs>
          <w:tab w:val="clear" w:pos="708"/>
          <w:tab w:val="left" w:pos="-142" w:leader="none"/>
        </w:tabs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Получение научных результатов при решении конкретных научно-прикладных задач по заказу и в интересах Росгвардии.</w:t>
      </w:r>
    </w:p>
    <w:p>
      <w:pPr>
        <w:pStyle w:val="Normal"/>
        <w:numPr>
          <w:ilvl w:val="0"/>
          <w:numId w:val="2"/>
        </w:numPr>
        <w:shd w:val="clear" w:color="auto" w:fill="FFFFFF"/>
        <w:tabs>
          <w:tab w:val="clear" w:pos="708"/>
          <w:tab w:val="left" w:pos="-142" w:leader="none"/>
        </w:tabs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Укрепление кадрового потенциала Росгвардии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>ОСНОВНЫЕ НАПРАВЛЕНИЯ НАУЧНЫХ ИССЛЕДОВАНИЙ: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>1 научный взвод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взвод информационных технологий:</w:t>
      </w:r>
    </w:p>
    <w:p>
      <w:pPr>
        <w:pStyle w:val="Normal"/>
        <w:numPr>
          <w:ilvl w:val="0"/>
          <w:numId w:val="3"/>
        </w:numPr>
        <w:shd w:val="clear" w:color="auto" w:fill="FFFFFF"/>
        <w:tabs>
          <w:tab w:val="clear" w:pos="708"/>
          <w:tab w:val="left" w:pos="-142" w:leader="none"/>
        </w:tabs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проектирование информационных систем;</w:t>
      </w:r>
    </w:p>
    <w:p>
      <w:pPr>
        <w:pStyle w:val="Normal"/>
        <w:numPr>
          <w:ilvl w:val="0"/>
          <w:numId w:val="3"/>
        </w:numPr>
        <w:shd w:val="clear" w:color="auto" w:fill="FFFFFF"/>
        <w:tabs>
          <w:tab w:val="clear" w:pos="708"/>
          <w:tab w:val="left" w:pos="-142" w:leader="none"/>
        </w:tabs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интернет-исследования; мультимедийные технологии (компьютерная графика, моделирование);</w:t>
      </w:r>
    </w:p>
    <w:p>
      <w:pPr>
        <w:pStyle w:val="Normal"/>
        <w:numPr>
          <w:ilvl w:val="0"/>
          <w:numId w:val="3"/>
        </w:numPr>
        <w:shd w:val="clear" w:color="auto" w:fill="FFFFFF"/>
        <w:tabs>
          <w:tab w:val="clear" w:pos="708"/>
          <w:tab w:val="left" w:pos="-142" w:leader="none"/>
        </w:tabs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программно-математическое обеспечение (разработка специального программного обеспечения); разработка прикладных задач.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b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>2 научный взвод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взвод инновационной деятельности:</w:t>
      </w:r>
    </w:p>
    <w:p>
      <w:pPr>
        <w:pStyle w:val="Normal"/>
        <w:numPr>
          <w:ilvl w:val="0"/>
          <w:numId w:val="4"/>
        </w:numPr>
        <w:shd w:val="clear" w:color="auto" w:fill="FFFFFF"/>
        <w:tabs>
          <w:tab w:val="clear" w:pos="708"/>
          <w:tab w:val="left" w:pos="-142" w:leader="none"/>
        </w:tabs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исследование вооружения, военной и специальной техники и других видов инженерно-технических средств для нужд Росгвардии;</w:t>
      </w:r>
    </w:p>
    <w:p>
      <w:pPr>
        <w:pStyle w:val="Normal"/>
        <w:numPr>
          <w:ilvl w:val="0"/>
          <w:numId w:val="4"/>
        </w:numPr>
        <w:shd w:val="clear" w:color="auto" w:fill="FFFFFF"/>
        <w:tabs>
          <w:tab w:val="clear" w:pos="708"/>
          <w:tab w:val="left" w:pos="-142" w:leader="none"/>
        </w:tabs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разработка программно-моделирующих комплексов по соответствующим видам деятельности;</w:t>
      </w:r>
    </w:p>
    <w:p>
      <w:pPr>
        <w:pStyle w:val="Normal"/>
        <w:numPr>
          <w:ilvl w:val="0"/>
          <w:numId w:val="4"/>
        </w:numPr>
        <w:shd w:val="clear" w:color="auto" w:fill="FFFFFF"/>
        <w:tabs>
          <w:tab w:val="clear" w:pos="708"/>
          <w:tab w:val="left" w:pos="-142" w:leader="none"/>
        </w:tabs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автоматизация процессов сбора и анализа данных, разработка систем поддержки принятия решений, создание баз данных по соответствующим видам деятельности и 3D-моделирование систем военного назначения;</w:t>
      </w:r>
    </w:p>
    <w:p>
      <w:pPr>
        <w:pStyle w:val="Normal"/>
        <w:numPr>
          <w:ilvl w:val="0"/>
          <w:numId w:val="4"/>
        </w:numPr>
        <w:shd w:val="clear" w:color="auto" w:fill="FFFFFF"/>
        <w:tabs>
          <w:tab w:val="clear" w:pos="708"/>
          <w:tab w:val="left" w:pos="-142" w:leader="none"/>
        </w:tabs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модернизация и создание систем централизованного наблюдения и объектовых средств для защиты объектов и имущества.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>3 научный взвод</w:t>
      </w:r>
    </w:p>
    <w:p>
      <w:pPr>
        <w:pStyle w:val="Normal"/>
        <w:numPr>
          <w:ilvl w:val="0"/>
          <w:numId w:val="5"/>
        </w:numPr>
        <w:shd w:val="clear" w:color="auto" w:fill="FFFFFF"/>
        <w:tabs>
          <w:tab w:val="clear" w:pos="708"/>
          <w:tab w:val="left" w:pos="-142" w:leader="none"/>
        </w:tabs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проведение исследований по военно-исторической работе;</w:t>
      </w:r>
    </w:p>
    <w:p>
      <w:pPr>
        <w:pStyle w:val="Normal"/>
        <w:numPr>
          <w:ilvl w:val="0"/>
          <w:numId w:val="5"/>
        </w:numPr>
        <w:shd w:val="clear" w:color="auto" w:fill="FFFFFF"/>
        <w:tabs>
          <w:tab w:val="clear" w:pos="708"/>
          <w:tab w:val="left" w:pos="-142" w:leader="none"/>
        </w:tabs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по проблемам противодействия терроризму;</w:t>
      </w:r>
    </w:p>
    <w:p>
      <w:pPr>
        <w:pStyle w:val="Normal"/>
        <w:numPr>
          <w:ilvl w:val="0"/>
          <w:numId w:val="5"/>
        </w:numPr>
        <w:shd w:val="clear" w:color="auto" w:fill="FFFFFF"/>
        <w:tabs>
          <w:tab w:val="clear" w:pos="708"/>
          <w:tab w:val="left" w:pos="-142" w:leader="none"/>
        </w:tabs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в области обеспечения национальной безопасности государства.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b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b/>
          <w:b/>
          <w:bCs/>
          <w:color w:val="333333"/>
          <w:sz w:val="28"/>
          <w:szCs w:val="28"/>
          <w:lang w:eastAsia="ru-RU"/>
        </w:rPr>
      </w:pPr>
      <w:r>
        <w:rPr/>
        <w:drawing>
          <wp:inline distT="0" distB="0" distL="0" distR="0">
            <wp:extent cx="6246495" cy="1276350"/>
            <wp:effectExtent l="0" t="0" r="0" b="0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/>
        <mc:AlternateContent>
          <mc:Choice Requires="wps">
            <w:drawing>
              <wp:inline distT="0" distB="0" distL="0" distR="0" wp14:anchorId="6E70C2D0">
                <wp:extent cx="309880" cy="309880"/>
                <wp:effectExtent l="0" t="0" r="0" b="0"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0" cy="30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4.4pt;width:24.3pt;height:24.3pt;mso-position-vertical:top" wp14:anchorId="6E70C2D0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>Требования к кандидатам: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1. Граждане Российской Федерации: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мужской пол;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возраст 20-27 лет;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не проходившие военную службу.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2. Имеющие высшее образование: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соответствие профиля обучения и специальности претендента профилю и направлениям исследований;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средний балл – не ниже 4,0;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предпочтительно наличие опыта решения научных и прикладных технических задач;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склонность к научной деятельности, участие в конкурсах, олимпиадах, наличие научных публикаций и трудов.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3. Годные к военной службе по призыву по состоянию здоровья (не ниже Б-3).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4. Личное желание призывника проходить службу по призыву в научной роте.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>Контактная информация:</w:t>
      </w:r>
    </w:p>
    <w:p>
      <w:pPr>
        <w:pStyle w:val="Normal"/>
        <w:shd w:val="clear" w:color="auto" w:fill="FFFFFF"/>
        <w:spacing w:lineRule="auto" w:line="240" w:before="0" w:after="0"/>
        <w:ind w:left="-426" w:hanging="0"/>
        <w:rPr/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г.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Вологда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, ул.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Зосимовская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, д.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63 В.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br/>
        <w:t>телефоны 8 (81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7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2)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7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5-3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3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-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21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.</w:t>
      </w:r>
    </w:p>
    <w:p>
      <w:pPr>
        <w:pStyle w:val="Normal"/>
        <w:spacing w:before="0" w:after="0"/>
        <w:ind w:left="-426" w:hanging="0"/>
        <w:rPr/>
      </w:pPr>
      <w:r>
        <w:rPr/>
        <w:drawing>
          <wp:anchor behindDoc="0" distT="0" distB="0" distL="114300" distR="114300" simplePos="0" locked="0" layoutInCell="1" allowOverlap="1" relativeHeight="2">
            <wp:simplePos x="0" y="0"/>
            <wp:positionH relativeFrom="margin">
              <wp:posOffset>-272415</wp:posOffset>
            </wp:positionH>
            <wp:positionV relativeFrom="margin">
              <wp:posOffset>7562215</wp:posOffset>
            </wp:positionV>
            <wp:extent cx="2966085" cy="2026285"/>
            <wp:effectExtent l="0" t="0" r="0" b="0"/>
            <wp:wrapSquare wrapText="bothSides"/>
            <wp:docPr id="8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3108325</wp:posOffset>
            </wp:positionH>
            <wp:positionV relativeFrom="paragraph">
              <wp:posOffset>9525</wp:posOffset>
            </wp:positionV>
            <wp:extent cx="2806700" cy="2030730"/>
            <wp:effectExtent l="0" t="0" r="0" b="0"/>
            <wp:wrapSquare wrapText="bothSides"/>
            <wp:docPr id="9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42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90"/>
  <w:defaultTabStop w:val="708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4">
    <w:name w:val="Heading 4"/>
    <w:basedOn w:val="Normal"/>
    <w:link w:val="40"/>
    <w:uiPriority w:val="9"/>
    <w:qFormat/>
    <w:rsid w:val="00031405"/>
    <w:pPr>
      <w:spacing w:lineRule="auto" w:line="240" w:beforeAutospacing="1" w:afterAutospacing="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41" w:customStyle="1">
    <w:name w:val="Заголовок 4 Знак"/>
    <w:basedOn w:val="DefaultParagraphFont"/>
    <w:link w:val="4"/>
    <w:uiPriority w:val="9"/>
    <w:qFormat/>
    <w:rsid w:val="00031405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Wmicallto" w:customStyle="1">
    <w:name w:val="wmi-callto"/>
    <w:basedOn w:val="DefaultParagraphFont"/>
    <w:qFormat/>
    <w:rsid w:val="00031405"/>
    <w:rPr/>
  </w:style>
  <w:style w:type="character" w:styleId="Style13" w:customStyle="1">
    <w:name w:val="Текст выноски Знак"/>
    <w:basedOn w:val="DefaultParagraphFont"/>
    <w:link w:val="a3"/>
    <w:uiPriority w:val="99"/>
    <w:semiHidden/>
    <w:qFormat/>
    <w:rsid w:val="00031405"/>
    <w:rPr>
      <w:rFonts w:ascii="Tahoma" w:hAnsi="Tahoma" w:cs="Tahoma"/>
      <w:sz w:val="16"/>
      <w:szCs w:val="16"/>
    </w:rPr>
  </w:style>
  <w:style w:type="character" w:styleId="Style14" w:customStyle="1">
    <w:name w:val="Верхний колонтитул Знак"/>
    <w:basedOn w:val="DefaultParagraphFont"/>
    <w:link w:val="a5"/>
    <w:uiPriority w:val="99"/>
    <w:qFormat/>
    <w:rsid w:val="00031405"/>
    <w:rPr/>
  </w:style>
  <w:style w:type="character" w:styleId="Style15" w:customStyle="1">
    <w:name w:val="Нижний колонтитул Знак"/>
    <w:basedOn w:val="DefaultParagraphFont"/>
    <w:link w:val="a7"/>
    <w:uiPriority w:val="99"/>
    <w:qFormat/>
    <w:rsid w:val="00031405"/>
    <w:rPr/>
  </w:style>
  <w:style w:type="character" w:styleId="ListLabel1">
    <w:name w:val="ListLabel 1"/>
    <w:qFormat/>
    <w:rPr>
      <w:rFonts w:ascii="Times New Roman" w:hAnsi="Times New Roman" w:cs="Symbol"/>
      <w:sz w:val="28"/>
    </w:rPr>
  </w:style>
  <w:style w:type="character" w:styleId="ListLabel2">
    <w:name w:val="ListLabel 2"/>
    <w:qFormat/>
    <w:rPr>
      <w:rFonts w:cs="Courier New"/>
      <w:sz w:val="20"/>
    </w:rPr>
  </w:style>
  <w:style w:type="character" w:styleId="ListLabel3">
    <w:name w:val="ListLabel 3"/>
    <w:qFormat/>
    <w:rPr>
      <w:rFonts w:cs="Wingdings"/>
      <w:sz w:val="20"/>
    </w:rPr>
  </w:style>
  <w:style w:type="character" w:styleId="ListLabel4">
    <w:name w:val="ListLabel 4"/>
    <w:qFormat/>
    <w:rPr>
      <w:rFonts w:cs="Wingdings"/>
      <w:sz w:val="20"/>
    </w:rPr>
  </w:style>
  <w:style w:type="character" w:styleId="ListLabel5">
    <w:name w:val="ListLabel 5"/>
    <w:qFormat/>
    <w:rPr>
      <w:rFonts w:cs="Wingdings"/>
      <w:sz w:val="20"/>
    </w:rPr>
  </w:style>
  <w:style w:type="character" w:styleId="ListLabel6">
    <w:name w:val="ListLabel 6"/>
    <w:qFormat/>
    <w:rPr>
      <w:rFonts w:cs="Wingdings"/>
      <w:sz w:val="20"/>
    </w:rPr>
  </w:style>
  <w:style w:type="character" w:styleId="ListLabel7">
    <w:name w:val="ListLabel 7"/>
    <w:qFormat/>
    <w:rPr>
      <w:rFonts w:cs="Wingdings"/>
      <w:sz w:val="20"/>
    </w:rPr>
  </w:style>
  <w:style w:type="character" w:styleId="ListLabel8">
    <w:name w:val="ListLabel 8"/>
    <w:qFormat/>
    <w:rPr>
      <w:rFonts w:cs="Wingdings"/>
      <w:sz w:val="20"/>
    </w:rPr>
  </w:style>
  <w:style w:type="character" w:styleId="ListLabel9">
    <w:name w:val="ListLabel 9"/>
    <w:qFormat/>
    <w:rPr>
      <w:rFonts w:cs="Wingdings"/>
      <w:sz w:val="20"/>
    </w:rPr>
  </w:style>
  <w:style w:type="character" w:styleId="ListLabel10">
    <w:name w:val="ListLabel 10"/>
    <w:qFormat/>
    <w:rPr>
      <w:rFonts w:ascii="Times New Roman" w:hAnsi="Times New Roman" w:cs="Symbol"/>
      <w:sz w:val="28"/>
    </w:rPr>
  </w:style>
  <w:style w:type="character" w:styleId="ListLabel11">
    <w:name w:val="ListLabel 11"/>
    <w:qFormat/>
    <w:rPr>
      <w:rFonts w:cs="Courier New"/>
      <w:sz w:val="20"/>
    </w:rPr>
  </w:style>
  <w:style w:type="character" w:styleId="ListLabel12">
    <w:name w:val="ListLabel 12"/>
    <w:qFormat/>
    <w:rPr>
      <w:rFonts w:cs="Wingdings"/>
      <w:sz w:val="20"/>
    </w:rPr>
  </w:style>
  <w:style w:type="character" w:styleId="ListLabel13">
    <w:name w:val="ListLabel 13"/>
    <w:qFormat/>
    <w:rPr>
      <w:rFonts w:cs="Wingdings"/>
      <w:sz w:val="20"/>
    </w:rPr>
  </w:style>
  <w:style w:type="character" w:styleId="ListLabel14">
    <w:name w:val="ListLabel 14"/>
    <w:qFormat/>
    <w:rPr>
      <w:rFonts w:cs="Wingdings"/>
      <w:sz w:val="20"/>
    </w:rPr>
  </w:style>
  <w:style w:type="character" w:styleId="ListLabel15">
    <w:name w:val="ListLabel 15"/>
    <w:qFormat/>
    <w:rPr>
      <w:rFonts w:cs="Wingdings"/>
      <w:sz w:val="20"/>
    </w:rPr>
  </w:style>
  <w:style w:type="character" w:styleId="ListLabel16">
    <w:name w:val="ListLabel 16"/>
    <w:qFormat/>
    <w:rPr>
      <w:rFonts w:cs="Wingdings"/>
      <w:sz w:val="20"/>
    </w:rPr>
  </w:style>
  <w:style w:type="character" w:styleId="ListLabel17">
    <w:name w:val="ListLabel 17"/>
    <w:qFormat/>
    <w:rPr>
      <w:rFonts w:cs="Wingdings"/>
      <w:sz w:val="20"/>
    </w:rPr>
  </w:style>
  <w:style w:type="character" w:styleId="ListLabel18">
    <w:name w:val="ListLabel 18"/>
    <w:qFormat/>
    <w:rPr>
      <w:rFonts w:cs="Wingdings"/>
      <w:sz w:val="20"/>
    </w:rPr>
  </w:style>
  <w:style w:type="character" w:styleId="ListLabel19">
    <w:name w:val="ListLabel 19"/>
    <w:qFormat/>
    <w:rPr>
      <w:rFonts w:ascii="Times New Roman" w:hAnsi="Times New Roman" w:cs="Symbol"/>
      <w:sz w:val="28"/>
    </w:rPr>
  </w:style>
  <w:style w:type="character" w:styleId="ListLabel20">
    <w:name w:val="ListLabel 20"/>
    <w:qFormat/>
    <w:rPr>
      <w:rFonts w:cs="Courier New"/>
      <w:sz w:val="20"/>
    </w:rPr>
  </w:style>
  <w:style w:type="character" w:styleId="ListLabel21">
    <w:name w:val="ListLabel 21"/>
    <w:qFormat/>
    <w:rPr>
      <w:rFonts w:cs="Wingdings"/>
      <w:sz w:val="20"/>
    </w:rPr>
  </w:style>
  <w:style w:type="character" w:styleId="ListLabel22">
    <w:name w:val="ListLabel 22"/>
    <w:qFormat/>
    <w:rPr>
      <w:rFonts w:cs="Wingdings"/>
      <w:sz w:val="20"/>
    </w:rPr>
  </w:style>
  <w:style w:type="character" w:styleId="ListLabel23">
    <w:name w:val="ListLabel 23"/>
    <w:qFormat/>
    <w:rPr>
      <w:rFonts w:cs="Wingdings"/>
      <w:sz w:val="20"/>
    </w:rPr>
  </w:style>
  <w:style w:type="character" w:styleId="ListLabel24">
    <w:name w:val="ListLabel 24"/>
    <w:qFormat/>
    <w:rPr>
      <w:rFonts w:cs="Wingdings"/>
      <w:sz w:val="20"/>
    </w:rPr>
  </w:style>
  <w:style w:type="character" w:styleId="ListLabel25">
    <w:name w:val="ListLabel 25"/>
    <w:qFormat/>
    <w:rPr>
      <w:rFonts w:cs="Wingdings"/>
      <w:sz w:val="20"/>
    </w:rPr>
  </w:style>
  <w:style w:type="character" w:styleId="ListLabel26">
    <w:name w:val="ListLabel 26"/>
    <w:qFormat/>
    <w:rPr>
      <w:rFonts w:cs="Wingdings"/>
      <w:sz w:val="20"/>
    </w:rPr>
  </w:style>
  <w:style w:type="character" w:styleId="ListLabel27">
    <w:name w:val="ListLabel 27"/>
    <w:qFormat/>
    <w:rPr>
      <w:rFonts w:cs="Wingdings"/>
      <w:sz w:val="20"/>
    </w:rPr>
  </w:style>
  <w:style w:type="character" w:styleId="ListLabel28">
    <w:name w:val="ListLabel 28"/>
    <w:qFormat/>
    <w:rPr>
      <w:rFonts w:ascii="Times New Roman" w:hAnsi="Times New Roman" w:cs="Symbol"/>
      <w:sz w:val="28"/>
    </w:rPr>
  </w:style>
  <w:style w:type="character" w:styleId="ListLabel29">
    <w:name w:val="ListLabel 29"/>
    <w:qFormat/>
    <w:rPr>
      <w:rFonts w:cs="Courier New"/>
      <w:sz w:val="20"/>
    </w:rPr>
  </w:style>
  <w:style w:type="character" w:styleId="ListLabel30">
    <w:name w:val="ListLabel 30"/>
    <w:qFormat/>
    <w:rPr>
      <w:rFonts w:cs="Wingdings"/>
      <w:sz w:val="20"/>
    </w:rPr>
  </w:style>
  <w:style w:type="character" w:styleId="ListLabel31">
    <w:name w:val="ListLabel 31"/>
    <w:qFormat/>
    <w:rPr>
      <w:rFonts w:cs="Wingdings"/>
      <w:sz w:val="20"/>
    </w:rPr>
  </w:style>
  <w:style w:type="character" w:styleId="ListLabel32">
    <w:name w:val="ListLabel 32"/>
    <w:qFormat/>
    <w:rPr>
      <w:rFonts w:cs="Wingdings"/>
      <w:sz w:val="20"/>
    </w:rPr>
  </w:style>
  <w:style w:type="character" w:styleId="ListLabel33">
    <w:name w:val="ListLabel 33"/>
    <w:qFormat/>
    <w:rPr>
      <w:rFonts w:cs="Wingdings"/>
      <w:sz w:val="20"/>
    </w:rPr>
  </w:style>
  <w:style w:type="character" w:styleId="ListLabel34">
    <w:name w:val="ListLabel 34"/>
    <w:qFormat/>
    <w:rPr>
      <w:rFonts w:cs="Wingdings"/>
      <w:sz w:val="20"/>
    </w:rPr>
  </w:style>
  <w:style w:type="character" w:styleId="ListLabel35">
    <w:name w:val="ListLabel 35"/>
    <w:qFormat/>
    <w:rPr>
      <w:rFonts w:cs="Wingdings"/>
      <w:sz w:val="20"/>
    </w:rPr>
  </w:style>
  <w:style w:type="character" w:styleId="ListLabel36">
    <w:name w:val="ListLabel 36"/>
    <w:qFormat/>
    <w:rPr>
      <w:rFonts w:cs="Wingdings"/>
      <w:sz w:val="20"/>
    </w:rPr>
  </w:style>
  <w:style w:type="character" w:styleId="ListLabel37">
    <w:name w:val="ListLabel 37"/>
    <w:qFormat/>
    <w:rPr>
      <w:rFonts w:ascii="Times New Roman" w:hAnsi="Times New Roman" w:cs="Symbol"/>
      <w:sz w:val="28"/>
    </w:rPr>
  </w:style>
  <w:style w:type="character" w:styleId="ListLabel38">
    <w:name w:val="ListLabel 38"/>
    <w:qFormat/>
    <w:rPr>
      <w:rFonts w:cs="Courier New"/>
      <w:sz w:val="20"/>
    </w:rPr>
  </w:style>
  <w:style w:type="character" w:styleId="ListLabel39">
    <w:name w:val="ListLabel 39"/>
    <w:qFormat/>
    <w:rPr>
      <w:rFonts w:cs="Wingdings"/>
      <w:sz w:val="20"/>
    </w:rPr>
  </w:style>
  <w:style w:type="character" w:styleId="ListLabel40">
    <w:name w:val="ListLabel 40"/>
    <w:qFormat/>
    <w:rPr>
      <w:rFonts w:cs="Wingdings"/>
      <w:sz w:val="20"/>
    </w:rPr>
  </w:style>
  <w:style w:type="character" w:styleId="ListLabel41">
    <w:name w:val="ListLabel 41"/>
    <w:qFormat/>
    <w:rPr>
      <w:rFonts w:cs="Wingdings"/>
      <w:sz w:val="20"/>
    </w:rPr>
  </w:style>
  <w:style w:type="character" w:styleId="ListLabel42">
    <w:name w:val="ListLabel 42"/>
    <w:qFormat/>
    <w:rPr>
      <w:rFonts w:cs="Wingdings"/>
      <w:sz w:val="20"/>
    </w:rPr>
  </w:style>
  <w:style w:type="character" w:styleId="ListLabel43">
    <w:name w:val="ListLabel 43"/>
    <w:qFormat/>
    <w:rPr>
      <w:rFonts w:cs="Wingdings"/>
      <w:sz w:val="20"/>
    </w:rPr>
  </w:style>
  <w:style w:type="character" w:styleId="ListLabel44">
    <w:name w:val="ListLabel 44"/>
    <w:qFormat/>
    <w:rPr>
      <w:rFonts w:cs="Wingdings"/>
      <w:sz w:val="20"/>
    </w:rPr>
  </w:style>
  <w:style w:type="character" w:styleId="ListLabel45">
    <w:name w:val="ListLabel 45"/>
    <w:qFormat/>
    <w:rPr>
      <w:rFonts w:cs="Wingdings"/>
      <w:sz w:val="20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03140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1">
    <w:name w:val="Верхний и нижний колонтитулы"/>
    <w:basedOn w:val="Normal"/>
    <w:qFormat/>
    <w:pPr/>
    <w:rPr/>
  </w:style>
  <w:style w:type="paragraph" w:styleId="Style22">
    <w:name w:val="Header"/>
    <w:basedOn w:val="Normal"/>
    <w:link w:val="a6"/>
    <w:uiPriority w:val="99"/>
    <w:unhideWhenUsed/>
    <w:rsid w:val="00031405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8"/>
    <w:uiPriority w:val="99"/>
    <w:unhideWhenUsed/>
    <w:rsid w:val="00031405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Application>LibreOffice/6.1.5.2$Linux_X86_64 LibreOffice_project/10$Build-2</Application>
  <Pages>3</Pages>
  <Words>571</Words>
  <Characters>4185</Characters>
  <CharactersWithSpaces>4697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2021-01-28T13:59:00Z</dcterms:created>
  <dc:creator>Петров М А</dc:creator>
  <dc:description/>
  <dc:language>ru-RU</dc:language>
  <cp:lastModifiedBy/>
  <dcterms:modified xsi:type="dcterms:W3CDTF">2021-01-29T13:52:33Z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